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8E512B" w:rsidRPr="008E512B" w:rsidTr="008E512B">
        <w:tc>
          <w:tcPr>
            <w:tcW w:w="5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СТАТИСТИЧЕСКОЕ НАБЛЮДЕНИЕ</w:t>
            </w:r>
          </w:p>
        </w:tc>
      </w:tr>
      <w:tr w:rsidR="008E512B" w:rsidRPr="008E512B" w:rsidTr="008E512B">
        <w:tc>
          <w:tcPr>
            <w:tcW w:w="5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8"/>
            <w:bookmarkEnd w:id="0"/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КОНФИДЕНЦИАЛЬНОСТЬ ГАРАНТИРУЕТСЯ ПОЛУЧАТЕЛЕМ ИНФОРМАЦИИ</w:t>
            </w:r>
          </w:p>
        </w:tc>
      </w:tr>
    </w:tbl>
    <w:p w:rsidR="008E512B" w:rsidRPr="008E512B" w:rsidRDefault="008E512B" w:rsidP="008E5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8E512B" w:rsidRPr="008E512B" w:rsidTr="008E512B">
        <w:tc>
          <w:tcPr>
            <w:tcW w:w="4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9"/>
            <w:bookmarkEnd w:id="1"/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 </w:t>
            </w:r>
            <w:hyperlink r:id="rId4" w:anchor="l0" w:tgtFrame="_blank" w:history="1">
              <w:r w:rsidRPr="008E512B">
                <w:rPr>
                  <w:rFonts w:ascii="Times New Roman" w:eastAsia="Times New Roman" w:hAnsi="Times New Roman" w:cs="Times New Roman"/>
                  <w:color w:val="3072C4"/>
                  <w:sz w:val="24"/>
                  <w:szCs w:val="24"/>
                  <w:u w:val="single"/>
                  <w:lang w:eastAsia="ru-RU"/>
                </w:rPr>
                <w:t>Кодексом</w:t>
              </w:r>
            </w:hyperlink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об административных правонарушениях</w:t>
            </w:r>
          </w:p>
        </w:tc>
      </w:tr>
      <w:tr w:rsidR="008E512B" w:rsidRPr="008E512B" w:rsidTr="008E512B">
        <w:tc>
          <w:tcPr>
            <w:tcW w:w="4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10"/>
            <w:bookmarkEnd w:id="2"/>
            <w:r w:rsidRPr="008E5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ЧИСЛЕННОСТИ И ЗАРАБОТНОЙ ПЛАТЕ РАБОТНИКОВ</w:t>
            </w:r>
            <w:r w:rsidRPr="008E5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 20__ год</w:t>
            </w:r>
          </w:p>
        </w:tc>
      </w:tr>
    </w:tbl>
    <w:p w:rsidR="008E512B" w:rsidRPr="008E512B" w:rsidRDefault="008E512B" w:rsidP="008E5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3245"/>
        <w:gridCol w:w="99"/>
        <w:gridCol w:w="1765"/>
        <w:gridCol w:w="350"/>
        <w:gridCol w:w="350"/>
        <w:gridCol w:w="2312"/>
      </w:tblGrid>
      <w:tr w:rsidR="008E512B" w:rsidRPr="008E512B" w:rsidTr="008E512B">
        <w:tc>
          <w:tcPr>
            <w:tcW w:w="24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11"/>
            <w:bookmarkEnd w:id="3"/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Предоставляют:</w:t>
            </w:r>
          </w:p>
        </w:tc>
        <w:tc>
          <w:tcPr>
            <w:tcW w:w="9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предоставления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N 1-Т</w:t>
            </w:r>
          </w:p>
        </w:tc>
      </w:tr>
      <w:tr w:rsidR="008E512B" w:rsidRPr="008E512B" w:rsidTr="008E512B">
        <w:tc>
          <w:tcPr>
            <w:tcW w:w="24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(кроме субъектов малого предпринимательства) всех видов экономической деятельности и форм собственности, не являющиеся респондентами по форме федерального статистического наблюдения </w:t>
            </w:r>
            <w:hyperlink r:id="rId5" w:anchor="l719" w:tgtFrame="_blank" w:history="1">
              <w:r w:rsidRPr="008E512B">
                <w:rPr>
                  <w:rFonts w:ascii="Times New Roman" w:eastAsia="Times New Roman" w:hAnsi="Times New Roman" w:cs="Times New Roman"/>
                  <w:color w:val="3072C4"/>
                  <w:sz w:val="24"/>
                  <w:szCs w:val="24"/>
                  <w:u w:val="single"/>
                  <w:lang w:eastAsia="ru-RU"/>
                </w:rPr>
                <w:t>N П-4</w:t>
              </w:r>
            </w:hyperlink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"Сведения о численности и заработной плате работников" в отчетном году:</w:t>
            </w: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95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1-го рабочего дня по 31 января после отчетного периода</w:t>
            </w:r>
          </w:p>
        </w:tc>
        <w:tc>
          <w:tcPr>
            <w:tcW w:w="20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Росстата:</w:t>
            </w: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утверждении формы</w:t>
            </w: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" w:name="l12"/>
            <w:bookmarkEnd w:id="4"/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31.07.2023 N 360</w:t>
            </w: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внесении изменений</w:t>
            </w: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__________ N ___</w:t>
            </w: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__________ N ___</w:t>
            </w:r>
          </w:p>
        </w:tc>
      </w:tr>
      <w:tr w:rsidR="008E512B" w:rsidRPr="008E512B" w:rsidTr="008E512B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2" w:space="0" w:color="auto"/>
            </w:tcBorders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12B" w:rsidRPr="008E512B" w:rsidTr="008E512B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2" w:space="0" w:color="auto"/>
            </w:tcBorders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8E512B" w:rsidRPr="008E512B" w:rsidTr="008E512B">
        <w:tc>
          <w:tcPr>
            <w:tcW w:w="0" w:type="auto"/>
            <w:gridSpan w:val="7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3"/>
            <w:bookmarkEnd w:id="5"/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отчитывающейся организации _____________________________</w:t>
            </w:r>
          </w:p>
        </w:tc>
      </w:tr>
      <w:tr w:rsidR="008E512B" w:rsidRPr="008E512B" w:rsidTr="008E512B">
        <w:tc>
          <w:tcPr>
            <w:tcW w:w="0" w:type="auto"/>
            <w:gridSpan w:val="7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_______________________________________________________</w:t>
            </w:r>
          </w:p>
        </w:tc>
      </w:tr>
      <w:tr w:rsidR="008E512B" w:rsidRPr="008E512B" w:rsidTr="008E512B">
        <w:tc>
          <w:tcPr>
            <w:tcW w:w="6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формы по </w:t>
            </w:r>
            <w:hyperlink r:id="rId6" w:anchor="l0" w:tgtFrame="_blank" w:history="1">
              <w:r w:rsidRPr="008E512B">
                <w:rPr>
                  <w:rFonts w:ascii="Times New Roman" w:eastAsia="Times New Roman" w:hAnsi="Times New Roman" w:cs="Times New Roman"/>
                  <w:color w:val="3072C4"/>
                  <w:sz w:val="24"/>
                  <w:szCs w:val="24"/>
                  <w:u w:val="single"/>
                  <w:lang w:eastAsia="ru-RU"/>
                </w:rPr>
                <w:t>ОКУД</w:t>
              </w:r>
            </w:hyperlink>
          </w:p>
        </w:tc>
        <w:tc>
          <w:tcPr>
            <w:tcW w:w="0" w:type="auto"/>
            <w:gridSpan w:val="6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8E512B" w:rsidRPr="008E512B" w:rsidTr="008E512B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отчитывающейся организации по ОКПО (для обособленного подразделения и головного подразделения юридического лица - идентификационный номер)</w:t>
            </w:r>
          </w:p>
        </w:tc>
        <w:tc>
          <w:tcPr>
            <w:tcW w:w="130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12B" w:rsidRPr="008E512B" w:rsidTr="008E512B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512B" w:rsidRPr="008E512B" w:rsidTr="008E512B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0606002</w:t>
            </w:r>
          </w:p>
        </w:tc>
        <w:tc>
          <w:tcPr>
            <w:tcW w:w="18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512B" w:rsidRPr="008E512B" w:rsidRDefault="008E512B" w:rsidP="008E512B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6" w:name="h773"/>
      <w:bookmarkEnd w:id="6"/>
      <w:r w:rsidRPr="008E512B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Численность и начисленная заработная плата работников за отчетный год</w:t>
      </w:r>
      <w:bookmarkStart w:id="7" w:name="l14"/>
      <w:bookmarkEnd w:id="7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821"/>
        <w:gridCol w:w="1652"/>
        <w:gridCol w:w="837"/>
        <w:gridCol w:w="1560"/>
        <w:gridCol w:w="1493"/>
        <w:gridCol w:w="1430"/>
      </w:tblGrid>
      <w:tr w:rsidR="008E512B" w:rsidRPr="008E512B" w:rsidTr="008E512B">
        <w:tc>
          <w:tcPr>
            <w:tcW w:w="16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5"/>
            <w:bookmarkEnd w:id="8"/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экономической деятельности</w:t>
            </w:r>
          </w:p>
        </w:tc>
        <w:tc>
          <w:tcPr>
            <w:tcW w:w="3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5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 </w:t>
            </w:r>
            <w:hyperlink r:id="rId7" w:anchor="l0" w:tgtFrame="_blank" w:history="1">
              <w:r w:rsidRPr="008E512B">
                <w:rPr>
                  <w:rFonts w:ascii="Times New Roman" w:eastAsia="Times New Roman" w:hAnsi="Times New Roman" w:cs="Times New Roman"/>
                  <w:color w:val="3072C4"/>
                  <w:sz w:val="24"/>
                  <w:szCs w:val="24"/>
                  <w:u w:val="single"/>
                  <w:lang w:eastAsia="ru-RU"/>
                </w:rPr>
                <w:t>ОКВЭД2</w:t>
              </w:r>
            </w:hyperlink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&lt;1&gt;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работников, чел</w:t>
            </w: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(допускается заполнение с двумя десятичными знаками после запятой)</w:t>
            </w:r>
          </w:p>
        </w:tc>
      </w:tr>
      <w:tr w:rsidR="008E512B" w:rsidRPr="008E512B" w:rsidTr="008E512B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(сумма граф 2, 3, 4)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8E512B" w:rsidRPr="008E512B" w:rsidTr="008E512B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списочного состава (без внешних совместителей) &lt;2&gt;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внешних совместителей &lt;3&gt;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 работы по договорам гражданско-правового характера &lt;4&gt;</w:t>
            </w:r>
          </w:p>
        </w:tc>
      </w:tr>
      <w:tr w:rsidR="008E512B" w:rsidRPr="008E512B" w:rsidTr="008E512B">
        <w:tc>
          <w:tcPr>
            <w:tcW w:w="1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512B" w:rsidRPr="008E512B" w:rsidTr="008E512B">
        <w:tc>
          <w:tcPr>
            <w:tcW w:w="1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(сумма строк с 02 по 10)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12B" w:rsidRPr="008E512B" w:rsidTr="008E512B">
        <w:tc>
          <w:tcPr>
            <w:tcW w:w="1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деятельности: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12B" w:rsidRPr="008E512B" w:rsidTr="008E512B">
        <w:tc>
          <w:tcPr>
            <w:tcW w:w="1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12B" w:rsidRPr="008E512B" w:rsidTr="008E512B">
        <w:tc>
          <w:tcPr>
            <w:tcW w:w="1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12B" w:rsidRPr="008E512B" w:rsidTr="008E512B">
        <w:tc>
          <w:tcPr>
            <w:tcW w:w="1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12B" w:rsidRPr="008E512B" w:rsidTr="008E512B">
        <w:tc>
          <w:tcPr>
            <w:tcW w:w="1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12B" w:rsidRPr="008E512B" w:rsidTr="008E512B">
        <w:tc>
          <w:tcPr>
            <w:tcW w:w="1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12B" w:rsidRPr="008E512B" w:rsidTr="008E512B">
        <w:tc>
          <w:tcPr>
            <w:tcW w:w="1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12B" w:rsidRPr="008E512B" w:rsidTr="008E512B">
        <w:tc>
          <w:tcPr>
            <w:tcW w:w="1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12B" w:rsidRPr="008E512B" w:rsidTr="008E512B">
        <w:tc>
          <w:tcPr>
            <w:tcW w:w="1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512B" w:rsidRPr="008E512B" w:rsidRDefault="008E512B" w:rsidP="008E5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l16"/>
      <w:bookmarkEnd w:id="9"/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Заполняется в соответствии с группировками Общероссийского </w:t>
      </w:r>
      <w:hyperlink r:id="rId8" w:anchor="l0" w:tgtFrame="_blank" w:history="1">
        <w:r w:rsidRPr="008E512B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классификатора</w:t>
        </w:r>
      </w:hyperlink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видов экономической деятельности ОК 029-2014 (КДЕС Ред. 2), приведенными в приложении N 4 к </w:t>
      </w:r>
      <w:hyperlink r:id="rId9" w:anchor="l30" w:tgtFrame="_blank" w:history="1">
        <w:r w:rsidRPr="008E512B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Указаниям</w:t>
        </w:r>
      </w:hyperlink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заполнению форм федерального статистического наблюдения NN П-1, П-2, П-3, П-4, П-5(м).</w:t>
      </w:r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 Показывается среднесписочная численность работников.</w:t>
      </w:r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&lt;3&gt; Средняя численность внешних совместителей исчисляется пропорционально фактически отработанному времени.</w:t>
      </w:r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&lt;4&gt; Средняя численность исчисляется исходя из учета этих работников за каждый календарный день как целых единиц в течение всего срока действия договора.</w:t>
      </w:r>
      <w:bookmarkStart w:id="10" w:name="l496"/>
      <w:bookmarkEnd w:id="10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306"/>
        <w:gridCol w:w="913"/>
        <w:gridCol w:w="456"/>
        <w:gridCol w:w="456"/>
        <w:gridCol w:w="1646"/>
        <w:gridCol w:w="126"/>
        <w:gridCol w:w="175"/>
        <w:gridCol w:w="1398"/>
        <w:gridCol w:w="302"/>
        <w:gridCol w:w="421"/>
        <w:gridCol w:w="1684"/>
      </w:tblGrid>
      <w:tr w:rsidR="008E512B" w:rsidRPr="008E512B" w:rsidTr="008E512B">
        <w:tc>
          <w:tcPr>
            <w:tcW w:w="3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l18"/>
            <w:bookmarkEnd w:id="11"/>
          </w:p>
        </w:tc>
        <w:tc>
          <w:tcPr>
            <w:tcW w:w="0" w:type="auto"/>
            <w:gridSpan w:val="10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начисленной заработной платы, </w:t>
            </w:r>
            <w:proofErr w:type="spellStart"/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одним десятичным знаком после запятой)</w:t>
            </w:r>
          </w:p>
        </w:tc>
        <w:tc>
          <w:tcPr>
            <w:tcW w:w="9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социального характера работникам - всего, </w:t>
            </w:r>
            <w:proofErr w:type="spellStart"/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одним десятичным знаком после запятой)</w:t>
            </w:r>
          </w:p>
        </w:tc>
      </w:tr>
      <w:tr w:rsidR="008E512B" w:rsidRPr="008E512B" w:rsidTr="008E512B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(сумма граф 6, 7, 8)</w:t>
            </w:r>
          </w:p>
        </w:tc>
        <w:tc>
          <w:tcPr>
            <w:tcW w:w="0" w:type="auto"/>
            <w:gridSpan w:val="9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12B" w:rsidRPr="008E512B" w:rsidTr="008E512B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 списочного состава (без внешних совместителей)</w:t>
            </w:r>
          </w:p>
        </w:tc>
        <w:tc>
          <w:tcPr>
            <w:tcW w:w="7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внешним совместителям</w:t>
            </w:r>
          </w:p>
        </w:tc>
        <w:tc>
          <w:tcPr>
            <w:tcW w:w="1450" w:type="pct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работникам, выполнявшим работы по договорам гражданско-правового характера и другим лицам </w:t>
            </w:r>
            <w:proofErr w:type="spellStart"/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12B" w:rsidRPr="008E512B" w:rsidTr="008E512B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0" w:type="pct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E512B" w:rsidRPr="008E512B" w:rsidTr="008E512B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12B" w:rsidRPr="008E512B" w:rsidTr="008E512B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12B" w:rsidRPr="008E512B" w:rsidTr="008E512B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12B" w:rsidRPr="008E512B" w:rsidTr="008E512B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12B" w:rsidRPr="008E512B" w:rsidTr="008E512B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12B" w:rsidRPr="008E512B" w:rsidTr="008E512B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12B" w:rsidRPr="008E512B" w:rsidTr="008E512B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12B" w:rsidRPr="008E512B" w:rsidTr="008E512B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12B" w:rsidRPr="008E512B" w:rsidTr="008E512B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12B" w:rsidRPr="008E512B" w:rsidTr="008E512B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12B" w:rsidRPr="008E512B" w:rsidTr="008E512B">
        <w:tc>
          <w:tcPr>
            <w:tcW w:w="145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778"/>
            <w:bookmarkEnd w:id="12"/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12B" w:rsidRPr="008E512B" w:rsidTr="008E512B">
        <w:tc>
          <w:tcPr>
            <w:tcW w:w="145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8E512B" w:rsidRPr="008E512B" w:rsidTr="008E512B">
        <w:tc>
          <w:tcPr>
            <w:tcW w:w="145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(номер контактного телефона &lt;1&gt;)</w:t>
            </w:r>
          </w:p>
        </w:tc>
        <w:tc>
          <w:tcPr>
            <w:tcW w:w="2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&lt;1&gt;: ____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 20__ год</w:t>
            </w: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(дата составления документа)</w:t>
            </w:r>
          </w:p>
        </w:tc>
      </w:tr>
    </w:tbl>
    <w:p w:rsidR="008E512B" w:rsidRPr="008E512B" w:rsidRDefault="008E512B" w:rsidP="008E5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наблюдения, обязательным для предоставления, а также для направления извещений, уведомлений, квитанций и иных юридически значимых сообщений.</w:t>
      </w:r>
      <w:bookmarkStart w:id="13" w:name="l20"/>
      <w:bookmarkEnd w:id="13"/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формы федерального статистического наблюдения через специального оператора связи вышеуказанное взаимодействие с респондентом может осуществляться также через специального оператора связи.</w:t>
      </w:r>
      <w:bookmarkStart w:id="14" w:name="l497"/>
      <w:bookmarkEnd w:id="14"/>
    </w:p>
    <w:p w:rsidR="008E512B" w:rsidRPr="008E512B" w:rsidRDefault="008E512B" w:rsidP="008E512B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5" w:name="h768"/>
      <w:bookmarkEnd w:id="15"/>
      <w:r w:rsidRPr="008E512B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lastRenderedPageBreak/>
        <w:t>Указания по заполнению формы федерального статистического наблюдения</w:t>
      </w:r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статистические данные (далее - данные) по форме федерального статистического наблюдения N 1-Т "Сведения о численности и заработной плате работников" (далее - форма) предоставляют юридические лица (кроме субъектов малого предпринимательства) всех видов экономической деятельности и форм собственности, не являющиеся респондентами по форме федерального статистического наблюдения </w:t>
      </w:r>
      <w:hyperlink r:id="rId10" w:anchor="l719" w:tgtFrame="_blank" w:history="1">
        <w:r w:rsidRPr="008E512B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N П-4</w:t>
        </w:r>
      </w:hyperlink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"Сведения о численности и заработной плате работников" в отчетном году (далее - респонденты).</w:t>
      </w:r>
      <w:bookmarkStart w:id="16" w:name="l21"/>
      <w:bookmarkEnd w:id="16"/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 предоставляют указанную форму в территориальный орган Росстата один раз в год - в срок, указанный на бланке формы.</w:t>
      </w:r>
      <w:bookmarkStart w:id="17" w:name="l498"/>
      <w:bookmarkEnd w:id="17"/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у юридического лица обособленных подразделений &lt;1&gt; настоящая форма заполняется как по каждому обособленному подразделению, так и по юридическому лицу без этих обособленных подразделений.</w:t>
      </w:r>
      <w:bookmarkStart w:id="18" w:name="l22"/>
      <w:bookmarkEnd w:id="18"/>
    </w:p>
    <w:p w:rsidR="008E512B" w:rsidRPr="008E512B" w:rsidRDefault="008E512B" w:rsidP="008E51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1" w:anchor="l2202" w:tgtFrame="_blank" w:history="1">
        <w:r w:rsidRPr="008E512B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 2</w:t>
        </w:r>
      </w:hyperlink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11 Налогового кодекса Российской Федерации).</w:t>
      </w:r>
      <w:bookmarkStart w:id="19" w:name="l499"/>
      <w:bookmarkStart w:id="20" w:name="l23"/>
      <w:bookmarkEnd w:id="19"/>
      <w:bookmarkEnd w:id="20"/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у юридического лица обособленных подразделений, осуществляющих деятельность за пределами Российской Федерации, данные по ним в настоящую форму не включаются.</w:t>
      </w:r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 предоставляют также филиалы, </w:t>
      </w:r>
      <w:proofErr w:type="gramStart"/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представительства и подразделения</w:t>
      </w:r>
      <w:proofErr w:type="gramEnd"/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Заполненная форма предоставляется в территориальные органы Росстата по месту фактического осуществления деятельности юридического лица (обособленного подразделения).</w:t>
      </w:r>
      <w:bookmarkStart w:id="21" w:name="l24"/>
      <w:bookmarkEnd w:id="21"/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за отчетный период в случае отсутствия наблюдаемого явления респондент должен направить подписанный в установленном порядке отчет по форме, незаполненный значениями показателей ("пустой" отчет по форме).</w:t>
      </w:r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представляемом отчете такого вида должен заполняться исключительно титульный раздел формы, а в остальных разделах не должно указываться никаких значений данных, в том числе нулевых и прочерков.</w:t>
      </w:r>
      <w:bookmarkStart w:id="22" w:name="l500"/>
      <w:bookmarkEnd w:id="22"/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юридического лица назначает должностных лиц, уполномоченных предоставлять данные от имени юридического лица.</w:t>
      </w:r>
      <w:bookmarkStart w:id="23" w:name="l25"/>
      <w:bookmarkEnd w:id="23"/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реорганизации юридического лица в форме преобразования юридическое лицо, являющееся правопреемником, с момента своего создания должно предоставлять отчет по форме (включая данные реорганизованного юридического лица) в срок, указанный на бланке формы за период с начала отчетного года, в котором произошла реорганизация.</w:t>
      </w:r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в отношении которых в соответствии с Федеральным законом </w:t>
      </w:r>
      <w:hyperlink r:id="rId12" w:anchor="l0" w:tgtFrame="_blank" w:history="1">
        <w:r w:rsidRPr="008E512B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от 26 октября 2002 г. N 127-ФЗ</w:t>
        </w:r>
      </w:hyperlink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несостоятельности (банкротстве)" (далее - Закон о банкротстве) введены процедуры, применяемые в деле о банкротстве, предоставляют данные по указанной форме до завершения в соответствии со </w:t>
      </w:r>
      <w:hyperlink r:id="rId13" w:anchor="l8597" w:tgtFrame="_blank" w:history="1">
        <w:r w:rsidRPr="008E512B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статьей 149</w:t>
        </w:r>
      </w:hyperlink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о банкротстве конкурсного производства и внесения в единый государственный реестр юридических лиц (ЕГРЮЛ) записи о ликвидации должника.</w:t>
      </w:r>
      <w:bookmarkStart w:id="24" w:name="l26"/>
      <w:bookmarkEnd w:id="24"/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сокращенное наименование. На бланке формы, содержащей данные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  <w:bookmarkStart w:id="25" w:name="l501"/>
      <w:bookmarkStart w:id="26" w:name="l27"/>
      <w:bookmarkEnd w:id="25"/>
      <w:bookmarkEnd w:id="26"/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строке "Почтовый адрес"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 Для обособленных подразделений указывается почтовый адрес с почтовым индексом.</w:t>
      </w:r>
      <w:bookmarkStart w:id="27" w:name="l502"/>
      <w:bookmarkEnd w:id="27"/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кодовой части титульного листа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"Интернет" по адресу: https://websbor.gks.ru/online/info, отчитывающаяся организация проставляет:</w:t>
      </w:r>
      <w:bookmarkStart w:id="28" w:name="l28"/>
      <w:bookmarkEnd w:id="28"/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по Общероссийскому классификатору предприятий и организаций (ОКПО) - для юридического лица, не имеющего обособленных подразделений,</w:t>
      </w:r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 - для обособленного подразделения юридического лица и для головного подразделения юридического лица.</w:t>
      </w:r>
      <w:bookmarkStart w:id="29" w:name="l503"/>
      <w:bookmarkEnd w:id="29"/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  <w:bookmarkStart w:id="30" w:name="l29"/>
      <w:bookmarkEnd w:id="30"/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</w:t>
      </w: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приводятся в целом по организации (по строке 01) и по фактическим видам экономической деятельности (по свободным строкам с 02 по 10) о численности работников, начисленной им заработной плате и выплатах социального характера за отчетный год.</w:t>
      </w:r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6.</w:t>
      </w: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1 показывается средняя численность работников организации, которая включает:</w:t>
      </w:r>
      <w:bookmarkStart w:id="31" w:name="l504"/>
      <w:bookmarkEnd w:id="31"/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среднесписочную численность работников (графа 2);</w:t>
      </w:r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среднюю численность внешних совместителей (графа 3);</w:t>
      </w:r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среднюю численность работников, выполнявших работы по договорам гражданско-правового характера (графа 4).</w:t>
      </w:r>
      <w:bookmarkStart w:id="32" w:name="l30"/>
      <w:bookmarkEnd w:id="32"/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численность по каждой категории работников за год определяется путем суммирования численности работников за все месяцы отчетного года и деления полученной суммы на 12.</w:t>
      </w:r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то есть с 1 по 30 или 31 число (для февраля - по 28 или 29 число), включая праздничные (нерабочие) и выходные дни, и деления полученной суммы на число календарных дней месяца.</w:t>
      </w:r>
      <w:bookmarkStart w:id="33" w:name="l505"/>
      <w:bookmarkEnd w:id="33"/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численность внешних совместителей за месяц определяется пропорционально отработанному времени.</w:t>
      </w:r>
      <w:bookmarkStart w:id="34" w:name="l31"/>
      <w:bookmarkEnd w:id="34"/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расчете средней численности работников, выполнявших работу по договорам гражданско-правового характера, предметом которых является выполнение работ и оказание услуг, за месяц эти работники учитываются за каждый календарный день как целые единицы в течение всего периода действия договора независимо от срока выплаты вознаграждения.</w:t>
      </w:r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7.</w:t>
      </w: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фонд заработной платы (по графам 5, 6, 7, 8) включаются начисленные организациями суммы оплаты труда в денежной и </w:t>
      </w:r>
      <w:proofErr w:type="spellStart"/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неденежной</w:t>
      </w:r>
      <w:proofErr w:type="spellEnd"/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формах за отработанное и неотработанное время, компенсационные выплаты, связанные с условиями труда и режимом работы, доплаты и надбавки, премии, единовременные поощрительные выплаты, а также оплата питания и проживания, имеющая систематический характер.</w:t>
      </w:r>
      <w:bookmarkStart w:id="35" w:name="l32"/>
      <w:bookmarkEnd w:id="35"/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8.</w:t>
      </w: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численности и фонде заработной платы председателей товариществ собственников жилья, товариществ собственников недвижимости отражаются в соответствующих графах формы в зависимости от того, какой договор (трудовой или гражданско-правового характера) с ними заключен.</w:t>
      </w:r>
      <w:bookmarkStart w:id="36" w:name="l506"/>
      <w:bookmarkEnd w:id="36"/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9.</w:t>
      </w: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выплаты социального характера (графа 9) включаются суммы средств, связанные с предоставленными работникам социальными льготами, в частности, на лечение, отдых, проезд, трудоустройство (без пособий из государственных внебюджетных фондов), материальной помощи, предоставленной отдельным работникам по семейным обстоятельствам, оплата (компенсация) занятий спортом в клубах и секциях, и другие подобные расходы.</w:t>
      </w:r>
      <w:bookmarkStart w:id="37" w:name="l33"/>
      <w:bookmarkEnd w:id="37"/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форме, заполняемой профсоюзной организацией, в графе 9 также показываются суммы, включаемые в выплаты социального характера, выплаченные членам этой профсоюзной организации (работникам, не учитываемым в графах с 1 по 8).</w:t>
      </w:r>
      <w:bookmarkStart w:id="38" w:name="l507"/>
      <w:bookmarkEnd w:id="38"/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10.</w:t>
      </w: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формирования данных являются данные бухгалтерского и кадрового учета.</w:t>
      </w:r>
      <w:bookmarkStart w:id="39" w:name="l34"/>
      <w:bookmarkEnd w:id="39"/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11.</w:t>
      </w: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организация в отчетном году не начисляла заработную плату и другие выплаты, то форма предоставляется без заполнения этих данных.</w:t>
      </w:r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12.</w:t>
      </w: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Подробные методологические указания по заполнению показателей формы изложены в </w:t>
      </w:r>
      <w:hyperlink r:id="rId14" w:anchor="l30" w:tgtFrame="_blank" w:history="1">
        <w:r w:rsidRPr="008E512B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Указаниях</w:t>
        </w:r>
      </w:hyperlink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заполнению форм федерального статистического наблюдения N П-1 "Сведения о производстве и отгрузке товаров и услуг", N П-2 "Сведения об инвестициях в </w:t>
      </w: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нефинансовые активы", N П-3 "Сведения о финансовом состоянии организации", N П-4 "Сведения о численности и заработной плате работников", N П-5(м) "Основные сведения о деятельности организации", (в части заполнения формы N П-4), размещенных на официальном сайте Росстата в информационно-телекоммуникационной сети "Интернет" по адресу: https://rosstat.gov.ru/Главная страница/Респондентам/Формы федерального статистического наблюдения и формы бухгалтерской (финансовой) отчетности/Альбом форм федерального статистического наблюдения/Поиск по формам: П-4.</w:t>
      </w:r>
      <w:bookmarkStart w:id="40" w:name="l35"/>
      <w:bookmarkStart w:id="41" w:name="l508"/>
      <w:bookmarkEnd w:id="40"/>
      <w:bookmarkEnd w:id="41"/>
    </w:p>
    <w:p w:rsidR="008E512B" w:rsidRPr="008E512B" w:rsidRDefault="008E512B" w:rsidP="008E51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12B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13.</w:t>
      </w:r>
      <w:r w:rsidRPr="008E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заполнении формы следует учесть следующие контроли: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8592"/>
      </w:tblGrid>
      <w:tr w:rsidR="008E512B" w:rsidRPr="008E512B" w:rsidTr="008E512B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l36"/>
            <w:bookmarkEnd w:id="42"/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</w:t>
            </w:r>
          </w:p>
        </w:tc>
      </w:tr>
      <w:tr w:rsidR="008E512B" w:rsidRPr="008E512B" w:rsidTr="008E512B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графам 1, 2, 3, 4, 5, 6, 7, 8, 9 строка 01 = сумма строк с 02 по 10</w:t>
            </w:r>
          </w:p>
        </w:tc>
      </w:tr>
      <w:tr w:rsidR="008E512B" w:rsidRPr="008E512B" w:rsidTr="008E512B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1 = графа 2 + графа 3 + графа 4 по строкам с 01 по 10</w:t>
            </w:r>
          </w:p>
        </w:tc>
      </w:tr>
      <w:tr w:rsidR="008E512B" w:rsidRPr="008E512B" w:rsidTr="008E512B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5 = графа 6 + графа 7 + графа 8 по строкам с 01 по 10</w:t>
            </w:r>
          </w:p>
        </w:tc>
      </w:tr>
      <w:tr w:rsidR="008E512B" w:rsidRPr="008E512B" w:rsidTr="008E512B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заполнена графа 2, 3 или 4, то должна быть заполнена графа 1 по строкам с 01 по 10</w:t>
            </w:r>
          </w:p>
        </w:tc>
      </w:tr>
      <w:tr w:rsidR="008E512B" w:rsidRPr="008E512B" w:rsidTr="008E512B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заполнена графа 6, 7 или 8, то должна быть заполнена графа 5 по строкам с 01 по 10</w:t>
            </w:r>
          </w:p>
        </w:tc>
      </w:tr>
      <w:tr w:rsidR="008E512B" w:rsidRPr="008E512B" w:rsidTr="008E512B">
        <w:tc>
          <w:tcPr>
            <w:tcW w:w="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E512B" w:rsidRPr="008E512B" w:rsidRDefault="008E512B" w:rsidP="008E512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заполнена графа 6, то должна быть заполнена графа 2 по строкам с 01 по 10</w:t>
            </w:r>
          </w:p>
        </w:tc>
      </w:tr>
    </w:tbl>
    <w:p w:rsidR="00513A51" w:rsidRDefault="008E512B">
      <w:bookmarkStart w:id="43" w:name="_GoBack"/>
      <w:bookmarkEnd w:id="43"/>
    </w:p>
    <w:sectPr w:rsidR="0051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2B"/>
    <w:rsid w:val="008E512B"/>
    <w:rsid w:val="00D5738E"/>
    <w:rsid w:val="00D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C1F23-63DC-4AD6-9A27-B97FEBE8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5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E512B"/>
    <w:rPr>
      <w:color w:val="0000FF"/>
      <w:u w:val="single"/>
    </w:rPr>
  </w:style>
  <w:style w:type="paragraph" w:customStyle="1" w:styleId="dt-p">
    <w:name w:val="dt-p"/>
    <w:basedOn w:val="a"/>
    <w:rsid w:val="008E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8E5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53946" TargetMode="External"/><Relationship Id="rId13" Type="http://schemas.openxmlformats.org/officeDocument/2006/relationships/hyperlink" Target="https://normativ.kontur.ru/document?moduleId=1&amp;documentId=4551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53946" TargetMode="External"/><Relationship Id="rId12" Type="http://schemas.openxmlformats.org/officeDocument/2006/relationships/hyperlink" Target="https://normativ.kontur.ru/document?moduleId=1&amp;documentId=45515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56366" TargetMode="External"/><Relationship Id="rId11" Type="http://schemas.openxmlformats.org/officeDocument/2006/relationships/hyperlink" Target="https://normativ.kontur.ru/document?moduleId=1&amp;documentId=454798" TargetMode="External"/><Relationship Id="rId5" Type="http://schemas.openxmlformats.org/officeDocument/2006/relationships/hyperlink" Target="https://normativ.kontur.ru/document?moduleId=1&amp;documentId=4458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45817" TargetMode="External"/><Relationship Id="rId4" Type="http://schemas.openxmlformats.org/officeDocument/2006/relationships/hyperlink" Target="https://normativ.kontur.ru/document?moduleId=1&amp;documentId=454755" TargetMode="External"/><Relationship Id="rId9" Type="http://schemas.openxmlformats.org/officeDocument/2006/relationships/hyperlink" Target="https://normativ.kontur.ru/document?moduleId=1&amp;documentId=437548" TargetMode="External"/><Relationship Id="rId14" Type="http://schemas.openxmlformats.org/officeDocument/2006/relationships/hyperlink" Target="https://normativ.kontur.ru/document?moduleId=1&amp;documentId=437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2024-01-15T10:41:00Z</dcterms:created>
  <dcterms:modified xsi:type="dcterms:W3CDTF">2024-01-15T10:42:00Z</dcterms:modified>
</cp:coreProperties>
</file>